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DB" w:rsidRDefault="007516DB" w:rsidP="006F1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7516DB" w:rsidRDefault="007516DB" w:rsidP="006F1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ЭЛЬБАНСКОГО ГОРОДСКОГО ПОСЕЛЕНИЯ</w:t>
      </w:r>
    </w:p>
    <w:p w:rsidR="007516DB" w:rsidRDefault="007516DB" w:rsidP="006F1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Амурского муниципального района</w:t>
      </w:r>
    </w:p>
    <w:p w:rsidR="007516DB" w:rsidRDefault="007516DB" w:rsidP="006F1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7516DB" w:rsidRDefault="007516DB" w:rsidP="006F1358">
      <w:r>
        <w:tab/>
      </w:r>
    </w:p>
    <w:p w:rsidR="007516DB" w:rsidRDefault="007516DB" w:rsidP="006F1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16DB" w:rsidRDefault="007516DB" w:rsidP="00EF1FC0">
      <w:pPr>
        <w:ind w:right="5193"/>
        <w:rPr>
          <w:sz w:val="28"/>
          <w:szCs w:val="28"/>
        </w:rPr>
      </w:pPr>
    </w:p>
    <w:p w:rsidR="007516DB" w:rsidRDefault="007516DB" w:rsidP="00EF1FC0">
      <w:pPr>
        <w:ind w:right="5193"/>
        <w:rPr>
          <w:sz w:val="28"/>
          <w:szCs w:val="28"/>
        </w:rPr>
      </w:pPr>
    </w:p>
    <w:p w:rsidR="007516DB" w:rsidRDefault="007516DB" w:rsidP="00EF1FC0">
      <w:pPr>
        <w:ind w:right="5193"/>
        <w:rPr>
          <w:sz w:val="28"/>
          <w:szCs w:val="28"/>
        </w:rPr>
      </w:pPr>
      <w:r>
        <w:rPr>
          <w:sz w:val="28"/>
          <w:szCs w:val="28"/>
        </w:rPr>
        <w:t>24.11.11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№60</w:t>
      </w:r>
    </w:p>
    <w:p w:rsidR="007516DB" w:rsidRDefault="007516DB" w:rsidP="00EF1FC0">
      <w:pPr>
        <w:ind w:right="5193"/>
        <w:rPr>
          <w:sz w:val="28"/>
          <w:szCs w:val="28"/>
        </w:rPr>
      </w:pPr>
    </w:p>
    <w:p w:rsidR="007516DB" w:rsidRPr="00CC4E67" w:rsidRDefault="007516DB" w:rsidP="00567168">
      <w:pPr>
        <w:ind w:right="-58"/>
        <w:jc w:val="both"/>
        <w:rPr>
          <w:sz w:val="26"/>
          <w:szCs w:val="26"/>
        </w:rPr>
      </w:pPr>
      <w:r w:rsidRPr="00CC4E67">
        <w:rPr>
          <w:sz w:val="26"/>
          <w:szCs w:val="26"/>
        </w:rPr>
        <w:t xml:space="preserve">Об утверждении порядка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   </w:t>
      </w:r>
    </w:p>
    <w:p w:rsidR="007516DB" w:rsidRDefault="007516DB" w:rsidP="00EF1FC0">
      <w:pPr>
        <w:ind w:right="5477"/>
        <w:rPr>
          <w:sz w:val="28"/>
          <w:szCs w:val="28"/>
        </w:rPr>
      </w:pPr>
    </w:p>
    <w:p w:rsidR="007516DB" w:rsidRPr="00CC4E67" w:rsidRDefault="007516DB" w:rsidP="001621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4E67">
        <w:rPr>
          <w:rFonts w:ascii="Times New Roman" w:hAnsi="Times New Roman" w:cs="Times New Roman"/>
          <w:sz w:val="27"/>
          <w:szCs w:val="27"/>
        </w:rPr>
        <w:t xml:space="preserve">В соответствии с Планом мероприятий по выполнению показателей по мобилизации доходов в бюджет края и повышению собираемости платежей в 2011-2013 годах, утвержденным распоряжением Правительства Хабаровского края от 16.03.2011 № 123-рп «Об итогах исполнения бюджета края за 2010 год, о мерах по реализации закона Хабаровского края «О краевом бюджете на 2011 год», в целях повышения бюджетной и социальной эффективности налоговых льгот в Эльбанском городском поселении, установления единого подхода к рассмотрению предложений о предоставлении отдельным категориям налогоплательщиков налоговых льгот, и руководствуясь Уставом Эльбанского городского поселения </w:t>
      </w:r>
    </w:p>
    <w:p w:rsidR="007516DB" w:rsidRPr="00CC4E67" w:rsidRDefault="007516DB" w:rsidP="00567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C4E6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516DB" w:rsidRPr="00CC4E67" w:rsidRDefault="007516DB" w:rsidP="00567168">
      <w:pPr>
        <w:ind w:right="-1" w:firstLine="708"/>
        <w:jc w:val="both"/>
        <w:rPr>
          <w:sz w:val="27"/>
          <w:szCs w:val="27"/>
        </w:rPr>
      </w:pPr>
      <w:r w:rsidRPr="00CC4E67">
        <w:rPr>
          <w:spacing w:val="4"/>
          <w:sz w:val="27"/>
          <w:szCs w:val="27"/>
        </w:rPr>
        <w:t xml:space="preserve">1.Утвердить прилагаемый Порядок </w:t>
      </w:r>
      <w:r w:rsidRPr="00CC4E67">
        <w:rPr>
          <w:sz w:val="27"/>
          <w:szCs w:val="27"/>
        </w:rPr>
        <w:t>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поселения.</w:t>
      </w:r>
    </w:p>
    <w:p w:rsidR="007516DB" w:rsidRPr="00CC4E67" w:rsidRDefault="007516DB" w:rsidP="00567168">
      <w:pPr>
        <w:ind w:right="-1" w:firstLine="708"/>
        <w:jc w:val="both"/>
        <w:rPr>
          <w:sz w:val="27"/>
          <w:szCs w:val="27"/>
        </w:rPr>
      </w:pPr>
      <w:r w:rsidRPr="00CC4E67">
        <w:rPr>
          <w:sz w:val="27"/>
          <w:szCs w:val="27"/>
        </w:rPr>
        <w:t>2.Определить, что уполномоченным органом на проведение оценки эффективности налоговых льгот является отдел по бюджету, учету и отчетности администрации Эльбанского городского поселения (далее – отдел БУиО).</w:t>
      </w:r>
    </w:p>
    <w:p w:rsidR="007516DB" w:rsidRPr="00CC4E67" w:rsidRDefault="007516DB" w:rsidP="00567168">
      <w:pPr>
        <w:ind w:right="-1" w:firstLine="708"/>
        <w:jc w:val="both"/>
        <w:rPr>
          <w:sz w:val="27"/>
          <w:szCs w:val="27"/>
        </w:rPr>
      </w:pPr>
      <w:r w:rsidRPr="00CC4E67">
        <w:rPr>
          <w:sz w:val="27"/>
          <w:szCs w:val="27"/>
        </w:rPr>
        <w:t>3.Отделу по БУиО (Прилепская А.Г.) обеспечить проведение оценки эффективности предоставленных и планируемых к предоставлению льгот по местным налогам в бюджет поселения в соответствии с Порядком.</w:t>
      </w:r>
    </w:p>
    <w:p w:rsidR="007516DB" w:rsidRPr="00CC4E67" w:rsidRDefault="007516DB" w:rsidP="00567168">
      <w:pPr>
        <w:ind w:right="-1" w:firstLine="684"/>
        <w:jc w:val="both"/>
        <w:rPr>
          <w:sz w:val="27"/>
          <w:szCs w:val="27"/>
        </w:rPr>
      </w:pPr>
      <w:r w:rsidRPr="00CC4E67">
        <w:rPr>
          <w:sz w:val="27"/>
          <w:szCs w:val="27"/>
        </w:rPr>
        <w:t>4. Установить, что при выявлении фактов низкой бюджетной и социальной эффективности действующих налоговых льгот по местным налогам, отдел по БУиО осуществляет подготовку проектов нормативных правовых актов об отмене предоставленных налоговых льгот.</w:t>
      </w:r>
    </w:p>
    <w:p w:rsidR="007516DB" w:rsidRPr="00CC4E67" w:rsidRDefault="007516DB" w:rsidP="004B0AE6">
      <w:pPr>
        <w:ind w:right="5" w:firstLine="684"/>
        <w:jc w:val="both"/>
        <w:rPr>
          <w:sz w:val="27"/>
          <w:szCs w:val="27"/>
        </w:rPr>
      </w:pPr>
      <w:r w:rsidRPr="00CC4E67">
        <w:rPr>
          <w:sz w:val="27"/>
          <w:szCs w:val="27"/>
        </w:rPr>
        <w:t>5. Опубликовать настоящее постановление в средствах массовой информации.</w:t>
      </w:r>
    </w:p>
    <w:p w:rsidR="007516DB" w:rsidRDefault="007516DB" w:rsidP="00BC7616">
      <w:pPr>
        <w:ind w:right="5" w:firstLine="684"/>
        <w:jc w:val="both"/>
        <w:rPr>
          <w:sz w:val="27"/>
          <w:szCs w:val="27"/>
        </w:rPr>
      </w:pPr>
      <w:r w:rsidRPr="00CC4E67">
        <w:rPr>
          <w:sz w:val="27"/>
          <w:szCs w:val="27"/>
        </w:rPr>
        <w:t xml:space="preserve">6. Контроль за исполнением настоящего постановления оставляю за собой. </w:t>
      </w:r>
    </w:p>
    <w:p w:rsidR="007516DB" w:rsidRPr="00CC4E67" w:rsidRDefault="007516DB" w:rsidP="00567168">
      <w:pPr>
        <w:ind w:right="5"/>
        <w:jc w:val="both"/>
        <w:rPr>
          <w:sz w:val="27"/>
          <w:szCs w:val="27"/>
        </w:rPr>
      </w:pPr>
      <w:r w:rsidRPr="00CC4E67">
        <w:rPr>
          <w:sz w:val="27"/>
          <w:szCs w:val="27"/>
        </w:rPr>
        <w:t xml:space="preserve">И.о. главы городского поселения                                                    О.В.Гончаров </w:t>
      </w:r>
    </w:p>
    <w:p w:rsidR="007516DB" w:rsidRPr="00F62393" w:rsidRDefault="007516DB" w:rsidP="00567168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CC4E67">
        <w:rPr>
          <w:sz w:val="27"/>
          <w:szCs w:val="27"/>
        </w:rPr>
        <w:br w:type="page"/>
      </w:r>
      <w:r w:rsidRPr="00F62393">
        <w:rPr>
          <w:sz w:val="28"/>
          <w:szCs w:val="28"/>
        </w:rPr>
        <w:t>УТВЕРЖДЕН</w:t>
      </w:r>
    </w:p>
    <w:p w:rsidR="007516DB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7516DB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F6239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F62393">
        <w:rPr>
          <w:sz w:val="28"/>
          <w:szCs w:val="28"/>
        </w:rPr>
        <w:t xml:space="preserve">главы </w:t>
      </w:r>
    </w:p>
    <w:p w:rsidR="007516DB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Эльбанского </w:t>
      </w:r>
      <w:r w:rsidRPr="00F62393">
        <w:rPr>
          <w:sz w:val="28"/>
          <w:szCs w:val="28"/>
        </w:rPr>
        <w:t>городского</w:t>
      </w:r>
    </w:p>
    <w:p w:rsidR="007516DB" w:rsidRPr="00F62393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62393">
        <w:rPr>
          <w:sz w:val="28"/>
          <w:szCs w:val="28"/>
        </w:rPr>
        <w:t>поселения</w:t>
      </w:r>
    </w:p>
    <w:p w:rsidR="007516DB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7516DB" w:rsidRPr="00F62393" w:rsidRDefault="007516DB" w:rsidP="0056716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62393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_»___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__2011г. №_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</w:rPr>
        <w:t>_</w:t>
      </w: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F62393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567168" w:rsidRDefault="007516DB" w:rsidP="00F623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168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7516DB" w:rsidRPr="00F62393" w:rsidRDefault="007516DB" w:rsidP="00F62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7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Pr="00567168">
        <w:rPr>
          <w:rFonts w:ascii="Times New Roman" w:hAnsi="Times New Roman" w:cs="Times New Roman"/>
          <w:b w:val="0"/>
          <w:bCs w:val="0"/>
          <w:sz w:val="28"/>
          <w:szCs w:val="28"/>
        </w:rPr>
        <w:t>льбанского городского поселения</w:t>
      </w:r>
      <w:r w:rsidRPr="00F6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F62393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F62393" w:rsidRDefault="007516DB" w:rsidP="006B5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2393">
        <w:rPr>
          <w:sz w:val="28"/>
          <w:szCs w:val="28"/>
        </w:rPr>
        <w:t>1. Общие положения</w:t>
      </w:r>
    </w:p>
    <w:p w:rsidR="007516DB" w:rsidRDefault="007516DB" w:rsidP="006B5B1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F623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Оценка эффективности предоставленных и планируемых к предоставлению налоговых льгот проводится в целях сокращения потерь бюджета поселения, связанных с предоставлением льгот по местным налогам. Проведение оценки должно способствовать оптимизации перечня действующих налоговых льгот и обеспечению оптимального выбора объектов для предоставления поддержки в форме налоговых льгот.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393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F6239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используется статистическая отчетность и иные виды информации, включая оценки экспертов.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информации являются сведения, представленные: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Межрайонной инспекцией ФНС России № 8 по Хабаровскому краю;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Территориальным органом Федеральной службы государственной статистики;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Структурными подразделениями администрации Эльбанского городского поселения;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Получателями льгот или претендующими на их получение юридическими и физическими лицами.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Категории налогоплательщиков, в отношении которых проводится оценка эффективности предоставления налоговых льгот: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Юридические лица, осуществляющие предпринимательскую деятельность;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Организации, имеющие бюджетное финансирование;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Физические лица, льготы которым предоставляются в целях поддержки социально незащищенных слоев населения;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Налогоплательщики – участники инвестиционной деятельности, реализующие приоритетные инвестиционные проекты на территории поселения. 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Методика оценки бюджетной и социальной эффективности налоговых льгот.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Бюджетная эффективность.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налоговых льгот оценивается по коэффициенту бюджетной эффективности, рассчитанному на основе следующих показателей: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объема поступлений налогов в бюджет поселения;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объема налоговых льгот.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налогоплательщиков – юридических лиц, осуществляющих предпринимательскую деятельность, а также для организаций, имеющих бюджетное финансирование, бюджетная эффективность налоговых льгот выражается через прирост дополнительных доходов бюджета поселения, обеспеченных за счет использования высвобождаемых финансовых ресурсов для расширения и обновления производств и технологий с целью увеличения объема выпуска продукции, выполняемых работ и оказываемых услуг, получения дополнительной прибыли.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коэффициент бюджетной эффективности налоговых льгот рассчитывается по формуле: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НП</w:t>
      </w:r>
      <w:r w:rsidRPr="00E33E1E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– НП </w:t>
      </w:r>
      <w:r w:rsidRPr="00E33E1E">
        <w:rPr>
          <w:sz w:val="28"/>
          <w:szCs w:val="28"/>
          <w:vertAlign w:val="subscript"/>
        </w:rPr>
        <w:t>t - 1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3E1E">
        <w:rPr>
          <w:sz w:val="28"/>
          <w:szCs w:val="28"/>
          <w:vertAlign w:val="subscript"/>
        </w:rPr>
        <w:t>бэ</w:t>
      </w:r>
      <w:r>
        <w:rPr>
          <w:sz w:val="28"/>
          <w:szCs w:val="28"/>
          <w:vertAlign w:val="subscript"/>
        </w:rPr>
        <w:t>ю</w:t>
      </w:r>
      <w:r>
        <w:rPr>
          <w:sz w:val="28"/>
          <w:szCs w:val="28"/>
        </w:rPr>
        <w:t xml:space="preserve"> = ----------------------------  + 1 ,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Л</w:t>
      </w:r>
      <w:r w:rsidRPr="00E33E1E">
        <w:rPr>
          <w:sz w:val="28"/>
          <w:szCs w:val="28"/>
          <w:vertAlign w:val="subscript"/>
        </w:rPr>
        <w:t>t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 </w:t>
      </w:r>
      <w:r w:rsidRPr="00E33E1E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– объем поступлений налогов в бюджет поселения за оцениваемый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 </w:t>
      </w:r>
      <w:r w:rsidRPr="00E33E1E">
        <w:rPr>
          <w:sz w:val="28"/>
          <w:szCs w:val="28"/>
          <w:vertAlign w:val="subscript"/>
        </w:rPr>
        <w:t>t – 1</w:t>
      </w:r>
      <w:r>
        <w:rPr>
          <w:sz w:val="28"/>
          <w:szCs w:val="28"/>
        </w:rPr>
        <w:t xml:space="preserve"> – объем поступлений налогов в бюджет поселения за период, предшествующий оцениваемому;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 t – объем налоговых льгот, предоставляемых в оцениваемом периоде.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</w:t>
      </w:r>
      <w:r w:rsidRPr="00E33E1E"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 xml:space="preserve"> больше или равном 1,00 бюджетная эффективность налоговых льгот признается приемлемой (достаточной).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</w:t>
      </w:r>
      <w:r w:rsidRPr="00E33E1E"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 xml:space="preserve"> меньше 1,00 бюджетная эффективность налоговых льгот признается недостаточной (низкой).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коэффициента бюджетной эффективности налоговых льгот представляется по форме согласно приложению 1 к Порядку.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категорий налогоплательщиков – физических лиц, льготы которым предоставляются в целях поддержки социально незащищенных слоев населения, коэффициент бюджетной эффективности рассчитывается по формуле: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ПБ t – 1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бэпн = ---------------------  ,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ПБ t</w:t>
      </w:r>
    </w:p>
    <w:p w:rsidR="007516DB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где: ПБ t – объем потерь бюджета поселения за оцениваемый период в результате предоставления налоговых льгот;</w:t>
      </w:r>
    </w:p>
    <w:p w:rsidR="007516DB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ПБ t – 1 – объем потерь бюджета поселения за период, предшествующий оцениваемому, в результате предоставления налоговых льгот.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</w:t>
      </w:r>
      <w:r w:rsidRPr="00E33E1E">
        <w:rPr>
          <w:sz w:val="28"/>
          <w:szCs w:val="28"/>
          <w:vertAlign w:val="subscript"/>
        </w:rPr>
        <w:t>бэ</w:t>
      </w:r>
      <w:r>
        <w:rPr>
          <w:sz w:val="28"/>
          <w:szCs w:val="28"/>
          <w:vertAlign w:val="subscript"/>
        </w:rPr>
        <w:t>пн</w:t>
      </w:r>
      <w:r>
        <w:rPr>
          <w:sz w:val="28"/>
          <w:szCs w:val="28"/>
        </w:rPr>
        <w:t xml:space="preserve"> больше или равном 1,00 бюджетная эффективность налоговых льгот признается приемлемой (достаточной).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значении К</w:t>
      </w:r>
      <w:r w:rsidRPr="00E33E1E">
        <w:rPr>
          <w:sz w:val="28"/>
          <w:szCs w:val="28"/>
          <w:vertAlign w:val="subscript"/>
        </w:rPr>
        <w:t>бэ</w:t>
      </w:r>
      <w:r>
        <w:rPr>
          <w:sz w:val="28"/>
          <w:szCs w:val="28"/>
          <w:vertAlign w:val="subscript"/>
        </w:rPr>
        <w:t>пн</w:t>
      </w:r>
      <w:r>
        <w:rPr>
          <w:sz w:val="28"/>
          <w:szCs w:val="28"/>
        </w:rPr>
        <w:t xml:space="preserve"> меньше 1,00 бюджетная эффективность налоговых льгот признается недостаточной (низкой).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коэффициента бюджетной эффективности налоговых льгот для категорий налогоплательщиков – физических лиц предоставляется по форме согласно приложению 2 к Порядку.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налогоплательщиков – участников инвестиционной деятельности, реализующих приоритетные инвестиционные проекты на территории поселения, бюджетная эффективность налоговых льгот оценивается за отчетный, текущий и очередной финансовый годы. При расчете эффективности налоговых льгот налоговые поступления от реализации инвестиционных проектов являются дополнительными поступлениями в бюджет поселения. Коэффициент бюджетной эффективности данной категории налогоплательщиков характеризует дополнительный объем налоговых поступлений от реализации проектов (без учета налоговых льгот) на рубль налоговых льгот и рассчитывается по формуле: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НП t  +  Л t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Кбэи  =  --------------------- ,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 t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НП t – объем налоговых поступлений в бюджет поселения от реализации приоритетных инвестиционных проектов за отчетный (текущий, очередной)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 t – объем налоговых льгот по приоритетным инвестиционным проектам, предоставленных в отчетном (текущем, очередном) периоде.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коэффициента бюджетной эффективности для участников инвестиционной деятельности представляется по форме согласно положению 3 к Порядку.</w:t>
      </w:r>
    </w:p>
    <w:p w:rsidR="007516DB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2.2. Социальная эффективность.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налоговых льгот осуществляется на основании динамического сопоставления следующих показателей: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Среднесписочная численность персонала;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Среднемесячная заработная плата;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Величина прожиточного минимума.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категорий налогоплательщиков – юридических лиц, осуществляющих предпринимательскую деятельность, коэффициент социальной эффективности налоговых льгот рассчитывается по формуле:</w:t>
      </w:r>
    </w:p>
    <w:p w:rsidR="007516DB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5814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6" o:title=""/>
          </v:shape>
          <o:OLEObject Type="Embed" ProgID="Equation.3" ShapeID="_x0000_i1025" DrawAspect="Content" ObjectID="_1384689949" r:id="rId7"/>
        </w:object>
      </w:r>
    </w:p>
    <w:p w:rsidR="007516DB" w:rsidRPr="00186B6A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ФЗП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         </w:t>
      </w:r>
      <w:r>
        <w:rPr>
          <w:sz w:val="28"/>
          <w:szCs w:val="28"/>
        </w:rPr>
        <w:t xml:space="preserve">ПМ </w:t>
      </w:r>
      <w:r>
        <w:rPr>
          <w:sz w:val="28"/>
          <w:szCs w:val="28"/>
          <w:vertAlign w:val="subscript"/>
          <w:lang w:val="en-US"/>
        </w:rPr>
        <w:t>t</w:t>
      </w:r>
    </w:p>
    <w:p w:rsidR="007516DB" w:rsidRPr="00186B6A" w:rsidRDefault="007516DB" w:rsidP="006B5B13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 w:rsidRPr="004F5814">
        <w:rPr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6" o:title=""/>
          </v:shape>
          <o:OLEObject Type="Embed" ProgID="Equation.3" ShapeID="_x0000_i1026" DrawAspect="Content" ObjectID="_1384689950" r:id="rId8"/>
        </w:objec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СЭ 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vertAlign w:val="superscript"/>
        </w:rPr>
        <w:t>---------------</w:t>
      </w:r>
      <w:r w:rsidRPr="00186B6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vertAlign w:val="superscript"/>
        </w:rPr>
        <w:t>----------------</w:t>
      </w:r>
      <w:r w:rsidRPr="00186B6A">
        <w:rPr>
          <w:sz w:val="28"/>
          <w:szCs w:val="28"/>
        </w:rPr>
        <w:t xml:space="preserve"> *</w:t>
      </w:r>
      <w:r w:rsidRPr="00774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86B6A">
        <w:rPr>
          <w:sz w:val="32"/>
          <w:szCs w:val="32"/>
          <w:vertAlign w:val="subscript"/>
        </w:rPr>
        <w:t>цнд</w:t>
      </w:r>
    </w:p>
    <w:p w:rsidR="007516DB" w:rsidRPr="00186B6A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186B6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ФЗП </w:t>
      </w:r>
      <w:r>
        <w:rPr>
          <w:sz w:val="28"/>
          <w:szCs w:val="28"/>
          <w:vertAlign w:val="subscript"/>
          <w:lang w:val="en-US"/>
        </w:rPr>
        <w:t>t</w:t>
      </w:r>
      <w:r w:rsidRPr="00186B6A">
        <w:rPr>
          <w:sz w:val="28"/>
          <w:szCs w:val="28"/>
          <w:vertAlign w:val="subscript"/>
        </w:rPr>
        <w:t>-1</w:t>
      </w: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</w:rPr>
        <w:t xml:space="preserve">  ПМ </w:t>
      </w:r>
      <w:r>
        <w:rPr>
          <w:sz w:val="28"/>
          <w:szCs w:val="28"/>
          <w:vertAlign w:val="subscript"/>
          <w:lang w:val="en-US"/>
        </w:rPr>
        <w:t>t</w:t>
      </w:r>
      <w:r w:rsidRPr="00186B6A">
        <w:rPr>
          <w:sz w:val="28"/>
          <w:szCs w:val="28"/>
          <w:vertAlign w:val="subscript"/>
        </w:rPr>
        <w:t>-1</w:t>
      </w:r>
    </w:p>
    <w:p w:rsidR="007516DB" w:rsidRPr="00F62393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ФЗП </w:t>
      </w:r>
      <w:r>
        <w:rPr>
          <w:sz w:val="28"/>
          <w:szCs w:val="28"/>
          <w:vertAlign w:val="subscript"/>
          <w:lang w:val="en-US"/>
        </w:rPr>
        <w:t>t</w:t>
      </w:r>
      <w:r w:rsidRPr="00186B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фонд заработной платы за оцениваемый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ФЗП </w:t>
      </w:r>
      <w:r>
        <w:rPr>
          <w:sz w:val="28"/>
          <w:szCs w:val="28"/>
          <w:vertAlign w:val="subscript"/>
          <w:lang w:val="en-US"/>
        </w:rPr>
        <w:t>t</w:t>
      </w:r>
      <w:r w:rsidRPr="00186B6A">
        <w:rPr>
          <w:sz w:val="28"/>
          <w:szCs w:val="28"/>
          <w:vertAlign w:val="subscript"/>
        </w:rPr>
        <w:t xml:space="preserve">-1 </w:t>
      </w:r>
      <w:r w:rsidRPr="00186B6A">
        <w:rPr>
          <w:sz w:val="28"/>
          <w:szCs w:val="28"/>
        </w:rPr>
        <w:t xml:space="preserve">– </w:t>
      </w:r>
      <w:r>
        <w:rPr>
          <w:sz w:val="28"/>
          <w:szCs w:val="28"/>
        </w:rPr>
        <w:t>фонд заработной платы за период, предшествующий оцениваемому;</w:t>
      </w:r>
    </w:p>
    <w:p w:rsidR="007516DB" w:rsidRPr="00186B6A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величина прожиточного минимума в расчете на душу населения за оцениваемый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>
        <w:rPr>
          <w:sz w:val="28"/>
          <w:szCs w:val="28"/>
          <w:vertAlign w:val="subscript"/>
          <w:lang w:val="en-US"/>
        </w:rPr>
        <w:t>t</w:t>
      </w:r>
      <w:r w:rsidRPr="00610CFE">
        <w:rPr>
          <w:sz w:val="28"/>
          <w:szCs w:val="28"/>
          <w:vertAlign w:val="subscript"/>
        </w:rPr>
        <w:t xml:space="preserve">-1 </w:t>
      </w:r>
      <w:r w:rsidRPr="00610CFE">
        <w:rPr>
          <w:sz w:val="28"/>
          <w:szCs w:val="28"/>
        </w:rPr>
        <w:t xml:space="preserve">– </w:t>
      </w:r>
      <w:r>
        <w:rPr>
          <w:sz w:val="28"/>
          <w:szCs w:val="28"/>
        </w:rPr>
        <w:t>величина прожиточного минимума в расчете на душу населения за</w:t>
      </w:r>
      <w:r w:rsidRPr="00610CF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период, предшествующий оцениваемому;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vertAlign w:val="subscript"/>
        </w:rPr>
        <w:t xml:space="preserve">ЦНД </w:t>
      </w:r>
      <w:r>
        <w:rPr>
          <w:sz w:val="28"/>
          <w:szCs w:val="28"/>
        </w:rPr>
        <w:t xml:space="preserve">– корректирующий коэффициент целевой направленности деятельности налогоплательщиков.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значении К</w:t>
      </w:r>
      <w:r>
        <w:rPr>
          <w:sz w:val="28"/>
          <w:szCs w:val="28"/>
          <w:vertAlign w:val="subscript"/>
        </w:rPr>
        <w:t xml:space="preserve">СЭ </w:t>
      </w:r>
      <w:r>
        <w:rPr>
          <w:sz w:val="28"/>
          <w:szCs w:val="28"/>
        </w:rPr>
        <w:t>больше илии равном 0,60 социальная эффективность налоговых льгот признается приемлемой (достаточной).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значении К </w:t>
      </w:r>
      <w:r>
        <w:rPr>
          <w:sz w:val="28"/>
          <w:szCs w:val="28"/>
          <w:vertAlign w:val="subscript"/>
        </w:rPr>
        <w:t xml:space="preserve">СЭ </w:t>
      </w:r>
      <w:r>
        <w:rPr>
          <w:sz w:val="28"/>
          <w:szCs w:val="28"/>
        </w:rPr>
        <w:t>меньше 0,60 социальная эффективность налоговых льгот признается недостаточной (низкой).</w:t>
      </w:r>
    </w:p>
    <w:p w:rsidR="007516DB" w:rsidRPr="0064476C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76C">
        <w:rPr>
          <w:sz w:val="28"/>
          <w:szCs w:val="28"/>
        </w:rPr>
        <w:t>Фонд заработной платы рассчитывается по формуле: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ФЗП </w:t>
      </w:r>
      <w:r>
        <w:rPr>
          <w:sz w:val="28"/>
          <w:szCs w:val="28"/>
          <w:vertAlign w:val="subscript"/>
          <w:lang w:val="en-US"/>
        </w:rPr>
        <w:t>t</w:t>
      </w:r>
      <w:r w:rsidRPr="00774B0C">
        <w:rPr>
          <w:sz w:val="28"/>
          <w:szCs w:val="28"/>
          <w:vertAlign w:val="subscript"/>
        </w:rPr>
        <w:t xml:space="preserve"> </w:t>
      </w:r>
      <w:r w:rsidRPr="00774B0C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ЗП </w:t>
      </w:r>
      <w:r>
        <w:rPr>
          <w:sz w:val="28"/>
          <w:szCs w:val="28"/>
          <w:vertAlign w:val="subscript"/>
          <w:lang w:val="en-US"/>
        </w:rPr>
        <w:t>t</w:t>
      </w:r>
      <w:r w:rsidRPr="00774B0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vertAlign w:val="subscript"/>
          <w:lang w:val="en-US"/>
        </w:rPr>
        <w:t>t</w:t>
      </w:r>
      <w:r w:rsidRPr="00774B0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12,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</w:t>
      </w:r>
      <w:r>
        <w:rPr>
          <w:sz w:val="28"/>
          <w:szCs w:val="28"/>
          <w:vertAlign w:val="subscript"/>
          <w:lang w:val="en-US"/>
        </w:rPr>
        <w:t>t</w:t>
      </w:r>
      <w:r w:rsidRPr="00774B0C">
        <w:rPr>
          <w:sz w:val="28"/>
          <w:szCs w:val="28"/>
          <w:vertAlign w:val="subscript"/>
        </w:rPr>
        <w:t xml:space="preserve"> </w:t>
      </w:r>
      <w:r w:rsidRPr="00774B0C">
        <w:rPr>
          <w:sz w:val="28"/>
          <w:szCs w:val="28"/>
        </w:rPr>
        <w:t>=</w:t>
      </w:r>
      <w:r>
        <w:rPr>
          <w:sz w:val="28"/>
          <w:szCs w:val="28"/>
        </w:rPr>
        <w:t xml:space="preserve"> среднемесячная заработная плата за оцениваемый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 </w:t>
      </w:r>
      <w:r>
        <w:rPr>
          <w:sz w:val="28"/>
          <w:szCs w:val="28"/>
          <w:vertAlign w:val="subscript"/>
          <w:lang w:val="en-US"/>
        </w:rPr>
        <w:t>t</w:t>
      </w:r>
      <w:r w:rsidRPr="000649C4">
        <w:rPr>
          <w:sz w:val="28"/>
          <w:szCs w:val="28"/>
          <w:vertAlign w:val="subscript"/>
        </w:rPr>
        <w:t xml:space="preserve"> </w:t>
      </w:r>
      <w:r w:rsidRPr="000649C4">
        <w:rPr>
          <w:sz w:val="28"/>
          <w:szCs w:val="28"/>
        </w:rPr>
        <w:t xml:space="preserve">= </w:t>
      </w:r>
      <w:r>
        <w:rPr>
          <w:sz w:val="28"/>
          <w:szCs w:val="28"/>
        </w:rPr>
        <w:t>среднесписочная численность персонала за оцениваемый период.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Корректирующий коэффициент целевой направленности деятельности применяется для учета социальной значимости деятельности налогоплательщиков. По данному коэффициенту применяются следующие значения: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1,00 – для категорий налогоплательщиков, у которых целевая направленность деятельности связана с обеспечением постоянной занятости и трудоустройством лиц, нуждающихся в социальной защите (ветеранов, пенсионеров, инвалидов, членов многодетных семей, безработных и других), формированием благоприятных условий для их жизнедеятельности, воспитанием и оздоровлением детей и подростков, оказанием социальной и медицинской помощи, предоставлением других социально значимых услуг;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0,80 – для категорий налогоплательщиков, у которых целевая направленность деятельности связана с оказанием широкого спектра услуг, предоставляемых населению, и производством социально значимых потребительских товаров;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0,60 – для категорий налогоплательщиков,  у которых целевая направленность деятельности связана с получением предпринимательской выгоды посредством производства и продажи товаров, выполнения работ и оказания различных услуг, ориентированных на широкий круг потребителей. 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коэффициента социальной эффективности для юридических лиц представляется по форме согласно приложению 4 к Порядку.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по категории налогоплательщиков невозможно произвести расчет количественных показателей социальной эффективности налоговых льгот или цель льготирования непосредственно не связанна с количественными показателями деятельности налогоплательщиков, их социальный эффект оценивается через набор качественных факторов, характеризующих социальные последствия деятельности налогоплательщиков, таких как: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социальных задач,  определенных в программных документах развития муниципального образования;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занятости населения и повышение квалификации работников;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условий и охраны труда;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формирование благоприятных условий жизнедеятельности для социально незащищенных слоев населения, в том числе оказание социальной помощи;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трудоустройство лиц, нуждающихся в социальной защите;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улучшение качества и расширение ассортимента услуг, предоставляемых объектами непроизводственной сферы;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повышение экологической безопасности.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обеспечивающие выполнение перечисленных в настоящем пункте оснований, относятся к социально эффективным налоговым льготам.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коэффициент социальной эффективности налоговых льгот для таких категорий налогоплательщиков признается равным единице.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категорий налогоплательщиков – физических лиц, налоговые льготы которым представляются в целях поддержки социально незащищенных слоев населения, 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6DB" w:rsidRPr="004D72BA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</w:t>
      </w:r>
      <w:r w:rsidRPr="004758DB">
        <w:rPr>
          <w:position w:val="-6"/>
          <w:sz w:val="28"/>
          <w:szCs w:val="28"/>
        </w:rPr>
        <w:object w:dxaOrig="279" w:dyaOrig="340">
          <v:shape id="_x0000_i1027" type="#_x0000_t75" style="width:14.25pt;height:16.5pt" o:ole="">
            <v:imagedata r:id="rId9" o:title=""/>
          </v:shape>
          <o:OLEObject Type="Embed" ProgID="Equation.3" ShapeID="_x0000_i1027" DrawAspect="Content" ObjectID="_1384689951" r:id="rId10"/>
        </w:objec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                </w:t>
      </w:r>
      <w:r w:rsidRPr="004758DB">
        <w:rPr>
          <w:sz w:val="28"/>
          <w:szCs w:val="28"/>
          <w:vertAlign w:val="superscript"/>
        </w:rPr>
        <w:t xml:space="preserve"> </w:t>
      </w:r>
      <w:r w:rsidRPr="004D72BA">
        <w:rPr>
          <w:position w:val="-6"/>
          <w:sz w:val="28"/>
          <w:szCs w:val="28"/>
        </w:rPr>
        <w:object w:dxaOrig="279" w:dyaOrig="340">
          <v:shape id="_x0000_i1028" type="#_x0000_t75" style="width:14.25pt;height:16.5pt" o:ole="">
            <v:imagedata r:id="rId11" o:title=""/>
          </v:shape>
          <o:OLEObject Type="Embed" ProgID="Equation.3" ShapeID="_x0000_i1028" DrawAspect="Content" ObjectID="_1384689952" r:id="rId12"/>
        </w:object>
      </w:r>
      <w:r>
        <w:rPr>
          <w:sz w:val="28"/>
          <w:szCs w:val="28"/>
          <w:vertAlign w:val="subscript"/>
          <w:lang w:val="en-US"/>
        </w:rPr>
        <w:t>t</w:t>
      </w:r>
      <w:r w:rsidRPr="004D72BA">
        <w:rPr>
          <w:sz w:val="28"/>
          <w:szCs w:val="28"/>
          <w:vertAlign w:val="subscript"/>
        </w:rPr>
        <w:t>-1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 </w:t>
      </w:r>
      <w:r>
        <w:rPr>
          <w:sz w:val="28"/>
          <w:szCs w:val="28"/>
          <w:vertAlign w:val="subscript"/>
        </w:rPr>
        <w:t xml:space="preserve">ПС 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vertAlign w:val="superscript"/>
        </w:rPr>
        <w:t xml:space="preserve">-------------  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vertAlign w:val="superscript"/>
        </w:rPr>
        <w:t>-----------------</w:t>
      </w:r>
      <w:r>
        <w:rPr>
          <w:sz w:val="28"/>
          <w:szCs w:val="28"/>
        </w:rPr>
        <w:t xml:space="preserve">        </w:t>
      </w:r>
    </w:p>
    <w:p w:rsidR="007516DB" w:rsidRPr="0064476C" w:rsidRDefault="007516DB" w:rsidP="006B5B13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sz w:val="28"/>
          <w:szCs w:val="28"/>
        </w:rPr>
        <w:t xml:space="preserve">                                      </w:t>
      </w:r>
      <w:r w:rsidRPr="004758DB">
        <w:t xml:space="preserve">ПМ </w:t>
      </w:r>
      <w:r>
        <w:rPr>
          <w:vertAlign w:val="subscript"/>
          <w:lang w:val="en-US"/>
        </w:rPr>
        <w:t>t</w:t>
      </w:r>
      <w:r w:rsidRPr="004D72BA">
        <w:t xml:space="preserve">           </w:t>
      </w:r>
      <w:r>
        <w:t xml:space="preserve">ПМ </w:t>
      </w:r>
      <w:r>
        <w:rPr>
          <w:vertAlign w:val="subscript"/>
          <w:lang w:val="en-US"/>
        </w:rPr>
        <w:t>t</w:t>
      </w:r>
      <w:r w:rsidRPr="0064476C">
        <w:rPr>
          <w:vertAlign w:val="subscript"/>
        </w:rPr>
        <w:t>-1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8DB">
        <w:rPr>
          <w:position w:val="-6"/>
          <w:sz w:val="28"/>
          <w:szCs w:val="28"/>
        </w:rPr>
        <w:object w:dxaOrig="279" w:dyaOrig="340">
          <v:shape id="_x0000_i1029" type="#_x0000_t75" style="width:14.25pt;height:16.5pt" o:ole="">
            <v:imagedata r:id="rId9" o:title=""/>
          </v:shape>
          <o:OLEObject Type="Embed" ProgID="Equation.3" ShapeID="_x0000_i1029" DrawAspect="Content" ObjectID="_1384689953" r:id="rId13"/>
        </w:objec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сумма налоговой льготы в расчете на одного налогоплательщика в среднем за месяц в оцениваемом периоде;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2BA">
        <w:rPr>
          <w:position w:val="-6"/>
          <w:sz w:val="28"/>
          <w:szCs w:val="28"/>
        </w:rPr>
        <w:object w:dxaOrig="279" w:dyaOrig="340">
          <v:shape id="_x0000_i1030" type="#_x0000_t75" style="width:14.25pt;height:16.5pt" o:ole="">
            <v:imagedata r:id="rId11" o:title=""/>
          </v:shape>
          <o:OLEObject Type="Embed" ProgID="Equation.3" ShapeID="_x0000_i1030" DrawAspect="Content" ObjectID="_1384689954" r:id="rId14"/>
        </w:object>
      </w:r>
      <w:r>
        <w:rPr>
          <w:sz w:val="28"/>
          <w:szCs w:val="28"/>
          <w:vertAlign w:val="subscript"/>
          <w:lang w:val="en-US"/>
        </w:rPr>
        <w:t>t</w:t>
      </w:r>
      <w:r w:rsidRPr="004D72BA"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 xml:space="preserve"> - сумма налоговой льготы в расчете на одного налогоплательщика в среднем за месяц в периоде,  предшествующем оцениваемому;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</w:pPr>
      <w:r w:rsidRPr="004758DB">
        <w:t xml:space="preserve">ПМ </w:t>
      </w:r>
      <w:r>
        <w:rPr>
          <w:vertAlign w:val="subscript"/>
          <w:lang w:val="en-US"/>
        </w:rPr>
        <w:t>t</w:t>
      </w:r>
      <w:r>
        <w:t xml:space="preserve"> – </w:t>
      </w:r>
      <w:r w:rsidRPr="004D72BA">
        <w:rPr>
          <w:sz w:val="28"/>
          <w:szCs w:val="28"/>
        </w:rPr>
        <w:t>величина прожиточного минимума в расчете на душу населения за оцениваемый период;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</w:pPr>
      <w:r>
        <w:t xml:space="preserve">ПМ </w:t>
      </w:r>
      <w:r>
        <w:rPr>
          <w:vertAlign w:val="subscript"/>
          <w:lang w:val="en-US"/>
        </w:rPr>
        <w:t>t</w:t>
      </w:r>
      <w:r w:rsidRPr="004D72BA">
        <w:rPr>
          <w:vertAlign w:val="subscript"/>
        </w:rPr>
        <w:t>-1</w:t>
      </w:r>
      <w:r>
        <w:t xml:space="preserve"> – </w:t>
      </w:r>
      <w:r w:rsidRPr="004D72BA">
        <w:rPr>
          <w:sz w:val="28"/>
          <w:szCs w:val="28"/>
        </w:rPr>
        <w:t>величина прожиточного минимума в расчете на душу населения за период, предшествующий оцениваемому.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коэффициента больше или равном 0,60 социальная эффективность налоговых льгот признается приемлемой (достаточной).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коэффициента меньше 0,60 социальная эффективность налоговых льгот признается недостаточной (низкой).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налоговых льгот  в расчете на одного налогоплательщика в среднем за месяц рассчитывается по формуле: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056BC4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644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 w:rsidRPr="0064476C">
        <w:rPr>
          <w:sz w:val="28"/>
          <w:szCs w:val="28"/>
        </w:rPr>
        <w:t xml:space="preserve">    </w:t>
      </w:r>
      <w:r>
        <w:rPr>
          <w:sz w:val="28"/>
          <w:szCs w:val="28"/>
        </w:rPr>
        <w:t>Л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t</w:t>
      </w:r>
    </w:p>
    <w:p w:rsidR="007516DB" w:rsidRPr="00056BC4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t xml:space="preserve">                                       </w:t>
      </w:r>
      <w:r w:rsidRPr="00056BC4">
        <w:rPr>
          <w:position w:val="-6"/>
          <w:sz w:val="28"/>
          <w:szCs w:val="28"/>
        </w:rPr>
        <w:object w:dxaOrig="279" w:dyaOrig="340">
          <v:shape id="_x0000_i1031" type="#_x0000_t75" style="width:14.25pt;height:16.5pt" o:ole="">
            <v:imagedata r:id="rId15" o:title=""/>
          </v:shape>
          <o:OLEObject Type="Embed" ProgID="Equation.3" ShapeID="_x0000_i1031" DrawAspect="Content" ObjectID="_1384689955" r:id="rId16"/>
        </w:object>
      </w:r>
      <w:r>
        <w:rPr>
          <w:sz w:val="28"/>
          <w:szCs w:val="28"/>
          <w:vertAlign w:val="subscript"/>
          <w:lang w:val="en-US"/>
        </w:rPr>
        <w:t>t</w:t>
      </w:r>
      <w:r w:rsidRPr="0064476C">
        <w:rPr>
          <w:sz w:val="28"/>
          <w:szCs w:val="28"/>
          <w:vertAlign w:val="subscript"/>
        </w:rPr>
        <w:t xml:space="preserve"> </w:t>
      </w:r>
      <w:r w:rsidRPr="0064476C">
        <w:rPr>
          <w:sz w:val="28"/>
          <w:szCs w:val="28"/>
        </w:rPr>
        <w:t xml:space="preserve">= </w:t>
      </w:r>
      <w:r w:rsidRPr="0064476C">
        <w:rPr>
          <w:sz w:val="28"/>
          <w:szCs w:val="28"/>
          <w:vertAlign w:val="superscript"/>
        </w:rPr>
        <w:t xml:space="preserve">------  </w:t>
      </w:r>
      <w:r>
        <w:rPr>
          <w:sz w:val="28"/>
          <w:szCs w:val="28"/>
        </w:rPr>
        <w:t>: 12,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>
        <w:rPr>
          <w:sz w:val="28"/>
          <w:szCs w:val="28"/>
        </w:rPr>
        <w:t>Ч</w:t>
      </w:r>
      <w:r w:rsidRPr="0064476C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t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объем налоговых льгот, предоставляемых категории налогоплательщиков в оцениваемом периоде;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6BC4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численность налогоплательщиков за оцениваемый период.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коэффициента социальной эффективности для физических лиц представляется по форме согласно приложению 5 к Приказу.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налогоплательщиков – участников инвестиционной деятельности, реализующих приоритетные инвестиционные проекты социальная эффективность налоговых льгот оценивается по следующим показателям: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новых рабочих мест за отчетный (текущий, очередной) финансовый год;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сохранение существующих рабочих мест за отчетный (текущий, очередной) финансовый год;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отчисление во внебюджетные фонды за счет дополнительных и сохраненных рабочих мест за отчетный (текущий, очередной) финансовый год.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социальной эффективности для участников инвестиционной деятельности по форме согласно приложению 6 к Приказу.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Обобщенная оценка бюджетной и социальной эффективности.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Интегральная оценка бюджетной и социальной эффективности налоговых льгот осуществляется на основании соответствующих коэффициентов.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категорий налогоплательщиков (за исключением участников инвестиционной деятельности, реализующих приоритетные инвестиционные проекты) обобщающий коэффициент бюджетной и социальной  эффективности налоговых льгот рассчитывается по формуле:</w:t>
      </w:r>
    </w:p>
    <w:p w:rsidR="007516DB" w:rsidRPr="0061607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К </w:t>
      </w:r>
      <w:r>
        <w:rPr>
          <w:sz w:val="28"/>
          <w:szCs w:val="28"/>
          <w:vertAlign w:val="subscript"/>
        </w:rPr>
        <w:t xml:space="preserve">БЭ </w:t>
      </w:r>
      <w:r>
        <w:rPr>
          <w:sz w:val="28"/>
          <w:szCs w:val="28"/>
        </w:rPr>
        <w:t xml:space="preserve">+ К </w:t>
      </w:r>
      <w:r>
        <w:rPr>
          <w:sz w:val="28"/>
          <w:szCs w:val="28"/>
          <w:vertAlign w:val="subscript"/>
        </w:rPr>
        <w:t>СЭ</w:t>
      </w:r>
    </w:p>
    <w:p w:rsidR="007516DB" w:rsidRPr="0061607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</w:t>
      </w:r>
      <w:r>
        <w:rPr>
          <w:sz w:val="28"/>
          <w:szCs w:val="28"/>
          <w:vertAlign w:val="subscript"/>
        </w:rPr>
        <w:t xml:space="preserve">БСЭ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vertAlign w:val="superscript"/>
        </w:rPr>
        <w:t>------------------------,</w:t>
      </w:r>
    </w:p>
    <w:p w:rsidR="007516DB" w:rsidRDefault="007516DB" w:rsidP="006B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 xml:space="preserve"> – коэффициент бюджетной эффективности налоговых льгот;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vertAlign w:val="subscript"/>
        </w:rPr>
        <w:t xml:space="preserve">СЭ </w:t>
      </w:r>
      <w:r>
        <w:rPr>
          <w:sz w:val="28"/>
          <w:szCs w:val="28"/>
        </w:rPr>
        <w:t>- коэффициент социальной эффективности налоговых льгот;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обобщающего коэффициента больше или равном 0,80 бюджетная и социальная эффективность налоговых льгот признается приемлемой (достаточной).</w:t>
      </w:r>
    </w:p>
    <w:p w:rsidR="007516DB" w:rsidRDefault="007516DB" w:rsidP="006B5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обобщающего коэффициента меньше 0,80 бюджетная и социальная эффективность налоговых льгот признается недостаточной (низкой).</w:t>
      </w: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8pt;margin-top:3.5pt;width:163.6pt;height:0;z-index:251658240" o:connectortype="straight"/>
        </w:pict>
      </w: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Прилепская</w:t>
      </w: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F62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 w:rsidRPr="002C241C">
        <w:t xml:space="preserve">Приложение 1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Pr="002C241C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2C241C">
      <w:pPr>
        <w:pStyle w:val="ConsPlusTitle"/>
        <w:widowControl/>
        <w:jc w:val="center"/>
        <w:rPr>
          <w:sz w:val="28"/>
          <w:szCs w:val="28"/>
        </w:rPr>
      </w:pPr>
    </w:p>
    <w:p w:rsidR="007516DB" w:rsidRDefault="007516DB" w:rsidP="002C241C">
      <w:pPr>
        <w:pStyle w:val="ConsPlusTitle"/>
        <w:widowControl/>
        <w:jc w:val="center"/>
        <w:rPr>
          <w:sz w:val="28"/>
          <w:szCs w:val="28"/>
        </w:rPr>
      </w:pPr>
    </w:p>
    <w:p w:rsidR="007516DB" w:rsidRDefault="007516DB" w:rsidP="002C241C">
      <w:pPr>
        <w:pStyle w:val="ConsPlusTitle"/>
        <w:widowControl/>
        <w:jc w:val="center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 бюджетной эффективности налоговых льгот для юридических лиц</w:t>
      </w:r>
      <w:r>
        <w:rPr>
          <w:sz w:val="28"/>
          <w:szCs w:val="28"/>
        </w:rPr>
        <w:t xml:space="preserve">,  осуществляющих предпринимательскую </w:t>
      </w:r>
    </w:p>
    <w:p w:rsidR="007516DB" w:rsidRDefault="007516DB" w:rsidP="000314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7516DB" w:rsidRDefault="007516DB" w:rsidP="00031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40"/>
        <w:gridCol w:w="1570"/>
        <w:gridCol w:w="1560"/>
        <w:gridCol w:w="1559"/>
        <w:gridCol w:w="1559"/>
      </w:tblGrid>
      <w:tr w:rsidR="007516DB" w:rsidRPr="002C241C">
        <w:trPr>
          <w:trHeight w:val="1649"/>
        </w:trPr>
        <w:tc>
          <w:tcPr>
            <w:tcW w:w="568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№</w:t>
            </w:r>
          </w:p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п/п</w:t>
            </w:r>
          </w:p>
        </w:tc>
        <w:tc>
          <w:tcPr>
            <w:tcW w:w="254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Показатели</w:t>
            </w:r>
          </w:p>
        </w:tc>
        <w:tc>
          <w:tcPr>
            <w:tcW w:w="157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Год, предшествующий отчетному финансовому году</w:t>
            </w:r>
          </w:p>
        </w:tc>
        <w:tc>
          <w:tcPr>
            <w:tcW w:w="156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Отчетный финансовый год</w:t>
            </w:r>
          </w:p>
        </w:tc>
        <w:tc>
          <w:tcPr>
            <w:tcW w:w="15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Текущий финансовый год</w:t>
            </w:r>
          </w:p>
        </w:tc>
        <w:tc>
          <w:tcPr>
            <w:tcW w:w="15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Очередной финансовый год</w:t>
            </w:r>
          </w:p>
        </w:tc>
      </w:tr>
      <w:tr w:rsidR="007516DB" w:rsidRPr="002C241C">
        <w:trPr>
          <w:trHeight w:val="360"/>
        </w:trPr>
        <w:tc>
          <w:tcPr>
            <w:tcW w:w="56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54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2</w:t>
            </w:r>
          </w:p>
        </w:tc>
        <w:tc>
          <w:tcPr>
            <w:tcW w:w="157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3</w:t>
            </w:r>
          </w:p>
        </w:tc>
        <w:tc>
          <w:tcPr>
            <w:tcW w:w="156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4</w:t>
            </w:r>
          </w:p>
        </w:tc>
        <w:tc>
          <w:tcPr>
            <w:tcW w:w="15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5</w:t>
            </w:r>
          </w:p>
        </w:tc>
        <w:tc>
          <w:tcPr>
            <w:tcW w:w="15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6</w:t>
            </w:r>
          </w:p>
        </w:tc>
      </w:tr>
      <w:tr w:rsidR="007516DB" w:rsidRPr="002C241C">
        <w:tc>
          <w:tcPr>
            <w:tcW w:w="56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54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поступлений налогов в местный бюджет, тыс. руб.</w:t>
            </w: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c>
          <w:tcPr>
            <w:tcW w:w="56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254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налоговых льгот, тыс. руб.</w:t>
            </w: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c>
          <w:tcPr>
            <w:tcW w:w="56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254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бюджетной эффективности налоговых льгот</w:t>
            </w: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Х</w:t>
            </w:r>
          </w:p>
        </w:tc>
        <w:tc>
          <w:tcPr>
            <w:tcW w:w="156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27" type="#_x0000_t32" style="position:absolute;margin-left:153.2pt;margin-top:12.9pt;width:119.7pt;height:0;z-index:251659264" o:connectortype="straight"/>
        </w:pict>
      </w: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>
        <w:t>Приложение 2</w:t>
      </w:r>
      <w:r w:rsidRPr="002C241C">
        <w:t xml:space="preserve">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Pr="002C241C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BB3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BB3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BB3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BB30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 бюджетной эффективности налоговых льгот</w:t>
      </w:r>
    </w:p>
    <w:p w:rsidR="007516DB" w:rsidRDefault="007516DB" w:rsidP="00BB30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категорий налогоплательщиков – физических лиц </w:t>
      </w: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74"/>
        <w:gridCol w:w="1825"/>
        <w:gridCol w:w="1701"/>
        <w:gridCol w:w="1701"/>
        <w:gridCol w:w="1559"/>
      </w:tblGrid>
      <w:tr w:rsidR="007516DB" w:rsidRPr="002C241C">
        <w:trPr>
          <w:trHeight w:val="1470"/>
          <w:jc w:val="center"/>
        </w:trPr>
        <w:tc>
          <w:tcPr>
            <w:tcW w:w="59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№</w:t>
            </w:r>
          </w:p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п/п</w:t>
            </w:r>
          </w:p>
        </w:tc>
        <w:tc>
          <w:tcPr>
            <w:tcW w:w="227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Показатели</w:t>
            </w:r>
          </w:p>
        </w:tc>
        <w:tc>
          <w:tcPr>
            <w:tcW w:w="1825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Год, предшествующий отчетному финансовому году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Отчетный финансовый год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Текущий финансовый год</w:t>
            </w:r>
          </w:p>
        </w:tc>
        <w:tc>
          <w:tcPr>
            <w:tcW w:w="15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Очередной финансовый год</w:t>
            </w: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27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1825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4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5</w:t>
            </w: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6</w:t>
            </w: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27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потерь местного бюджета в результате предоставления налоговых льгот, тыс.руб.</w:t>
            </w:r>
          </w:p>
        </w:tc>
        <w:tc>
          <w:tcPr>
            <w:tcW w:w="1825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227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бюджетной эффективности налоговых льгот</w:t>
            </w:r>
          </w:p>
        </w:tc>
        <w:tc>
          <w:tcPr>
            <w:tcW w:w="1825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 xml:space="preserve">Х 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28" type="#_x0000_t32" style="position:absolute;margin-left:157.9pt;margin-top:9.75pt;width:133.7pt;height:0;z-index:251660288" o:connectortype="straight"/>
        </w:pict>
      </w: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0314FE">
      <w:pPr>
        <w:autoSpaceDE w:val="0"/>
        <w:autoSpaceDN w:val="0"/>
        <w:adjustRightInd w:val="0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>
        <w:rPr>
          <w:sz w:val="28"/>
          <w:szCs w:val="28"/>
        </w:rPr>
        <w:br w:type="page"/>
      </w:r>
      <w:r>
        <w:t>Приложение 3</w:t>
      </w:r>
      <w:r w:rsidRPr="002C241C">
        <w:t xml:space="preserve">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Pr="002C241C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 бюджетной эффективности налоговых льгот</w:t>
      </w:r>
      <w:r>
        <w:rPr>
          <w:sz w:val="28"/>
          <w:szCs w:val="28"/>
        </w:rPr>
        <w:t xml:space="preserve"> д</w:t>
      </w:r>
      <w:r w:rsidRPr="000314FE">
        <w:rPr>
          <w:sz w:val="28"/>
          <w:szCs w:val="28"/>
        </w:rPr>
        <w:t>ля</w:t>
      </w: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инвестиционной деятельности, реализующих</w:t>
      </w: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приоритетные инвестиционные проекты</w:t>
      </w:r>
    </w:p>
    <w:p w:rsidR="007516DB" w:rsidRDefault="007516DB" w:rsidP="008D35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8D35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8D35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4"/>
        <w:gridCol w:w="1617"/>
        <w:gridCol w:w="1701"/>
        <w:gridCol w:w="1701"/>
      </w:tblGrid>
      <w:tr w:rsidR="007516DB" w:rsidRPr="002C241C">
        <w:trPr>
          <w:trHeight w:val="1521"/>
          <w:jc w:val="center"/>
        </w:trPr>
        <w:tc>
          <w:tcPr>
            <w:tcW w:w="59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№</w:t>
            </w:r>
          </w:p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п/п</w:t>
            </w:r>
          </w:p>
        </w:tc>
        <w:tc>
          <w:tcPr>
            <w:tcW w:w="371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Показатели</w:t>
            </w:r>
          </w:p>
        </w:tc>
        <w:tc>
          <w:tcPr>
            <w:tcW w:w="1617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Отчетный финансовый год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Текущий финансовый год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Очередной финансовый год</w:t>
            </w: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1</w:t>
            </w:r>
          </w:p>
        </w:tc>
        <w:tc>
          <w:tcPr>
            <w:tcW w:w="3714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2</w:t>
            </w:r>
          </w:p>
        </w:tc>
        <w:tc>
          <w:tcPr>
            <w:tcW w:w="1617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3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4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5</w:t>
            </w: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371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налоговых поступлений в областной бюджет от реализации приоритетных инвестиционных проектов, тыс. руб.</w:t>
            </w:r>
          </w:p>
        </w:tc>
        <w:tc>
          <w:tcPr>
            <w:tcW w:w="16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371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налоговых льгот по приоритетным инвестиционным проектам, тыс. руб.</w:t>
            </w:r>
          </w:p>
        </w:tc>
        <w:tc>
          <w:tcPr>
            <w:tcW w:w="16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371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налоговых поступлений в областной бюджет от реализации приоритетных инвестиционных проектов (без учета налоговых льгот), тыс. руб.</w:t>
            </w:r>
          </w:p>
        </w:tc>
        <w:tc>
          <w:tcPr>
            <w:tcW w:w="16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trHeight w:val="859"/>
          <w:jc w:val="center"/>
        </w:trPr>
        <w:tc>
          <w:tcPr>
            <w:tcW w:w="59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4</w:t>
            </w:r>
          </w:p>
        </w:tc>
        <w:tc>
          <w:tcPr>
            <w:tcW w:w="3714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бюджетной эффективности налоговых льгот</w:t>
            </w:r>
          </w:p>
        </w:tc>
        <w:tc>
          <w:tcPr>
            <w:tcW w:w="16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8D3566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8D3566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8D3566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8D356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29" type="#_x0000_t32" style="position:absolute;margin-left:198.1pt;margin-top:13.4pt;width:99.1pt;height:0;z-index:251661312" o:connectortype="straight"/>
        </w:pict>
      </w:r>
    </w:p>
    <w:p w:rsidR="007516DB" w:rsidRDefault="007516DB" w:rsidP="008D3566">
      <w:pPr>
        <w:autoSpaceDE w:val="0"/>
        <w:autoSpaceDN w:val="0"/>
        <w:adjustRightInd w:val="0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>
        <w:rPr>
          <w:sz w:val="28"/>
          <w:szCs w:val="28"/>
        </w:rPr>
        <w:br w:type="page"/>
      </w:r>
      <w:r w:rsidRPr="002C241C">
        <w:t xml:space="preserve">Приложение </w:t>
      </w:r>
      <w:r>
        <w:t>4</w:t>
      </w:r>
      <w:r w:rsidRPr="002C241C">
        <w:t xml:space="preserve">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социальной эффективности налоговых льгот</w:t>
      </w: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категории налогоплательщиков)</w:t>
      </w:r>
    </w:p>
    <w:p w:rsidR="007516DB" w:rsidRDefault="007516DB" w:rsidP="002C24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AF48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478"/>
        <w:gridCol w:w="2051"/>
        <w:gridCol w:w="1626"/>
        <w:gridCol w:w="1643"/>
        <w:gridCol w:w="1493"/>
      </w:tblGrid>
      <w:tr w:rsidR="007516DB" w:rsidRPr="002C241C">
        <w:trPr>
          <w:trHeight w:val="1649"/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№</w:t>
            </w:r>
          </w:p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п/п</w:t>
            </w:r>
          </w:p>
        </w:tc>
        <w:tc>
          <w:tcPr>
            <w:tcW w:w="257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Показатели</w:t>
            </w:r>
          </w:p>
        </w:tc>
        <w:tc>
          <w:tcPr>
            <w:tcW w:w="205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Год, предшествующий отчетному финансовому году</w:t>
            </w:r>
          </w:p>
        </w:tc>
        <w:tc>
          <w:tcPr>
            <w:tcW w:w="1678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Отчетный финансовый год</w:t>
            </w:r>
          </w:p>
        </w:tc>
        <w:tc>
          <w:tcPr>
            <w:tcW w:w="1701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Текущий финансовый год</w:t>
            </w:r>
          </w:p>
        </w:tc>
        <w:tc>
          <w:tcPr>
            <w:tcW w:w="1276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Очередной финансовый год</w:t>
            </w: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4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5</w:t>
            </w: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6</w:t>
            </w: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Среднесписочная численность персонала, человек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Среднемесячная заработная плата, руб.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Фонд заработной платы, руб.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ind w:right="53"/>
            </w:pP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4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Величина прожиточного минимума в расчете на душу населения, руб.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5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целевой направленности деятельности налогоплательщика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jc w:val="center"/>
        </w:trPr>
        <w:tc>
          <w:tcPr>
            <w:tcW w:w="592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6</w:t>
            </w:r>
          </w:p>
        </w:tc>
        <w:tc>
          <w:tcPr>
            <w:tcW w:w="2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социальной эффективности налоговых льгот</w:t>
            </w:r>
          </w:p>
        </w:tc>
        <w:tc>
          <w:tcPr>
            <w:tcW w:w="205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Х</w:t>
            </w:r>
          </w:p>
        </w:tc>
        <w:tc>
          <w:tcPr>
            <w:tcW w:w="167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AF4864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AF4864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AF4864">
      <w:pPr>
        <w:autoSpaceDE w:val="0"/>
        <w:autoSpaceDN w:val="0"/>
        <w:adjustRightInd w:val="0"/>
        <w:rPr>
          <w:sz w:val="28"/>
          <w:szCs w:val="28"/>
        </w:rPr>
      </w:pPr>
    </w:p>
    <w:p w:rsidR="007516DB" w:rsidRDefault="007516DB" w:rsidP="00AF486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30" type="#_x0000_t32" style="position:absolute;margin-left:160.7pt;margin-top:1.85pt;width:127.15pt;height:0;z-index:251662336" o:connectortype="straight"/>
        </w:pict>
      </w:r>
    </w:p>
    <w:p w:rsidR="007516DB" w:rsidRDefault="007516DB" w:rsidP="00AF4864">
      <w:pPr>
        <w:autoSpaceDE w:val="0"/>
        <w:autoSpaceDN w:val="0"/>
        <w:adjustRightInd w:val="0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 w:rsidRPr="002C241C">
        <w:t xml:space="preserve">Приложение </w:t>
      </w:r>
      <w:r>
        <w:t>5</w:t>
      </w:r>
      <w:r w:rsidRPr="002C241C">
        <w:t xml:space="preserve">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социальной эффективности налоговых льгот </w:t>
      </w: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физических лиц </w:t>
      </w: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494"/>
        <w:gridCol w:w="2051"/>
        <w:gridCol w:w="1807"/>
        <w:gridCol w:w="1539"/>
        <w:gridCol w:w="1493"/>
      </w:tblGrid>
      <w:tr w:rsidR="007516DB" w:rsidRPr="002C241C">
        <w:trPr>
          <w:trHeight w:val="1643"/>
          <w:jc w:val="center"/>
        </w:trPr>
        <w:tc>
          <w:tcPr>
            <w:tcW w:w="556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№</w:t>
            </w:r>
          </w:p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п/п</w:t>
            </w:r>
          </w:p>
        </w:tc>
        <w:tc>
          <w:tcPr>
            <w:tcW w:w="253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Показатели</w:t>
            </w:r>
          </w:p>
        </w:tc>
        <w:tc>
          <w:tcPr>
            <w:tcW w:w="1759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Год, предшествующий отчетному финансовому году</w:t>
            </w:r>
          </w:p>
        </w:tc>
        <w:tc>
          <w:tcPr>
            <w:tcW w:w="2017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Отчетный финансовый год</w:t>
            </w:r>
          </w:p>
        </w:tc>
        <w:tc>
          <w:tcPr>
            <w:tcW w:w="1570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Текущий финансовый год</w:t>
            </w:r>
          </w:p>
        </w:tc>
        <w:tc>
          <w:tcPr>
            <w:tcW w:w="1493" w:type="dxa"/>
          </w:tcPr>
          <w:p w:rsidR="007516DB" w:rsidRPr="002C241C" w:rsidRDefault="007516DB" w:rsidP="002C241C">
            <w:pPr>
              <w:autoSpaceDE w:val="0"/>
              <w:autoSpaceDN w:val="0"/>
              <w:adjustRightInd w:val="0"/>
              <w:jc w:val="center"/>
            </w:pPr>
            <w:r w:rsidRPr="002C241C">
              <w:t>Очередной финансовый год</w:t>
            </w:r>
          </w:p>
        </w:tc>
      </w:tr>
      <w:tr w:rsidR="007516DB" w:rsidRPr="002C241C">
        <w:trPr>
          <w:trHeight w:val="322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1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2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3</w:t>
            </w: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4</w:t>
            </w: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5</w:t>
            </w: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6</w:t>
            </w:r>
          </w:p>
        </w:tc>
      </w:tr>
      <w:tr w:rsidR="007516DB" w:rsidRPr="002C241C">
        <w:trPr>
          <w:trHeight w:val="660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1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Объем налоговых льгот, тыс. руб.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trHeight w:val="1643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2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Численность налогоплательщиков, относящихся к данной категории, человек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trHeight w:val="1643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3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Величина прожиточного минимума в расчете на душу населения, руб.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trHeight w:val="1643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4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Сумма налоговых льгот в расчете на одного налогоплательщика, тыс. руб.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rPr>
          <w:trHeight w:val="338"/>
          <w:jc w:val="center"/>
        </w:trPr>
        <w:tc>
          <w:tcPr>
            <w:tcW w:w="556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5</w:t>
            </w:r>
          </w:p>
        </w:tc>
        <w:tc>
          <w:tcPr>
            <w:tcW w:w="253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Коэффициент изменения покупательной способности</w:t>
            </w:r>
          </w:p>
        </w:tc>
        <w:tc>
          <w:tcPr>
            <w:tcW w:w="1759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Х</w:t>
            </w:r>
          </w:p>
        </w:tc>
        <w:tc>
          <w:tcPr>
            <w:tcW w:w="2017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49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71pt;margin-top:7.85pt;width:121.55pt;height:0;z-index:251663360" o:connectortype="straight"/>
        </w:pict>
      </w:r>
    </w:p>
    <w:p w:rsidR="007516DB" w:rsidRDefault="007516DB" w:rsidP="00DD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  <w:r>
        <w:rPr>
          <w:sz w:val="28"/>
          <w:szCs w:val="28"/>
        </w:rPr>
        <w:br w:type="page"/>
      </w:r>
      <w:r w:rsidRPr="002C241C">
        <w:t>Приложение</w:t>
      </w:r>
      <w:r>
        <w:t xml:space="preserve"> 6</w:t>
      </w:r>
      <w:r w:rsidRPr="002C241C">
        <w:t xml:space="preserve"> </w:t>
      </w:r>
    </w:p>
    <w:p w:rsidR="007516DB" w:rsidRPr="002C241C" w:rsidRDefault="007516DB" w:rsidP="002C241C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7516DB" w:rsidRDefault="007516DB" w:rsidP="002C241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41C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оценки эффективности предоставляемых (планируемых к предоставлению) налоговых льгот, установленных нормативными правовыми актами органов местного самоуправления Эльбанского городского поселения</w:t>
      </w:r>
    </w:p>
    <w:p w:rsidR="007516DB" w:rsidRDefault="007516DB" w:rsidP="002C2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50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4F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социальной эффективности налоговых льгот для </w:t>
      </w: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инвестиционной деятельности, реализующих </w:t>
      </w: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приоритетные инвестиционные проекты</w:t>
      </w: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1631"/>
        <w:gridCol w:w="1701"/>
        <w:gridCol w:w="1843"/>
      </w:tblGrid>
      <w:tr w:rsidR="007516DB" w:rsidRPr="002C241C">
        <w:tc>
          <w:tcPr>
            <w:tcW w:w="70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№</w:t>
            </w:r>
          </w:p>
          <w:p w:rsidR="007516DB" w:rsidRPr="002C241C" w:rsidRDefault="007516DB" w:rsidP="00FB57E9">
            <w:pPr>
              <w:autoSpaceDE w:val="0"/>
              <w:autoSpaceDN w:val="0"/>
              <w:adjustRightInd w:val="0"/>
              <w:jc w:val="center"/>
            </w:pPr>
            <w:r w:rsidRPr="002C241C">
              <w:t>п/п</w:t>
            </w:r>
          </w:p>
        </w:tc>
        <w:tc>
          <w:tcPr>
            <w:tcW w:w="312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 xml:space="preserve">Показатели </w:t>
            </w:r>
          </w:p>
        </w:tc>
        <w:tc>
          <w:tcPr>
            <w:tcW w:w="163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Отчетный финансовый год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Текущий финансовый год</w:t>
            </w:r>
          </w:p>
        </w:tc>
        <w:tc>
          <w:tcPr>
            <w:tcW w:w="184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Очередной финансовый год</w:t>
            </w:r>
          </w:p>
        </w:tc>
      </w:tr>
      <w:tr w:rsidR="007516DB" w:rsidRPr="002C241C">
        <w:tc>
          <w:tcPr>
            <w:tcW w:w="70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312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163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4</w:t>
            </w:r>
          </w:p>
        </w:tc>
        <w:tc>
          <w:tcPr>
            <w:tcW w:w="184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5</w:t>
            </w:r>
          </w:p>
        </w:tc>
      </w:tr>
      <w:tr w:rsidR="007516DB" w:rsidRPr="002C241C">
        <w:tc>
          <w:tcPr>
            <w:tcW w:w="70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1</w:t>
            </w:r>
          </w:p>
        </w:tc>
        <w:tc>
          <w:tcPr>
            <w:tcW w:w="312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Созданные рабочие места по приоритетным инвестиционным проектам, человек</w:t>
            </w:r>
          </w:p>
        </w:tc>
        <w:tc>
          <w:tcPr>
            <w:tcW w:w="163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c>
          <w:tcPr>
            <w:tcW w:w="70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2</w:t>
            </w:r>
          </w:p>
        </w:tc>
        <w:tc>
          <w:tcPr>
            <w:tcW w:w="312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Сохраненные рабочие места по приоритетным инвестиционным проектам, человек</w:t>
            </w:r>
          </w:p>
        </w:tc>
        <w:tc>
          <w:tcPr>
            <w:tcW w:w="163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  <w:tr w:rsidR="007516DB" w:rsidRPr="002C241C">
        <w:tc>
          <w:tcPr>
            <w:tcW w:w="708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3</w:t>
            </w:r>
          </w:p>
        </w:tc>
        <w:tc>
          <w:tcPr>
            <w:tcW w:w="3120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  <w:r w:rsidRPr="002C241C">
              <w:t>Отчисления во внебюджетные фонды за счет дополнительных и сохраненных рабочих мест, тыс. руб.</w:t>
            </w:r>
          </w:p>
        </w:tc>
        <w:tc>
          <w:tcPr>
            <w:tcW w:w="163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516DB" w:rsidRPr="002C241C" w:rsidRDefault="007516DB" w:rsidP="00FB57E9">
            <w:pPr>
              <w:autoSpaceDE w:val="0"/>
              <w:autoSpaceDN w:val="0"/>
              <w:adjustRightInd w:val="0"/>
            </w:pPr>
          </w:p>
        </w:tc>
      </w:tr>
    </w:tbl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6DB" w:rsidRPr="000314FE" w:rsidRDefault="007516DB" w:rsidP="005061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176.6pt;margin-top:33.8pt;width:113.15pt;height:0;z-index:251664384" o:connectortype="straight"/>
        </w:pict>
      </w:r>
    </w:p>
    <w:sectPr w:rsidR="007516DB" w:rsidRPr="000314FE" w:rsidSect="00567168">
      <w:pgSz w:w="11906" w:h="16838"/>
      <w:pgMar w:top="1134" w:right="567" w:bottom="1134" w:left="204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DB" w:rsidRDefault="007516DB">
      <w:r>
        <w:separator/>
      </w:r>
    </w:p>
  </w:endnote>
  <w:endnote w:type="continuationSeparator" w:id="1">
    <w:p w:rsidR="007516DB" w:rsidRDefault="0075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DB" w:rsidRDefault="007516DB">
      <w:r>
        <w:separator/>
      </w:r>
    </w:p>
  </w:footnote>
  <w:footnote w:type="continuationSeparator" w:id="1">
    <w:p w:rsidR="007516DB" w:rsidRDefault="0075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9D"/>
    <w:rsid w:val="00004EC9"/>
    <w:rsid w:val="000314FE"/>
    <w:rsid w:val="00032538"/>
    <w:rsid w:val="00036435"/>
    <w:rsid w:val="000371F0"/>
    <w:rsid w:val="000546DE"/>
    <w:rsid w:val="00056BC4"/>
    <w:rsid w:val="000649C4"/>
    <w:rsid w:val="000A41AB"/>
    <w:rsid w:val="000A7D92"/>
    <w:rsid w:val="000C053E"/>
    <w:rsid w:val="000F5554"/>
    <w:rsid w:val="001049F4"/>
    <w:rsid w:val="001213C1"/>
    <w:rsid w:val="001251EB"/>
    <w:rsid w:val="001503FD"/>
    <w:rsid w:val="00151B6F"/>
    <w:rsid w:val="00162113"/>
    <w:rsid w:val="00186B6A"/>
    <w:rsid w:val="0019243D"/>
    <w:rsid w:val="001B18CE"/>
    <w:rsid w:val="001B1AED"/>
    <w:rsid w:val="001B49B5"/>
    <w:rsid w:val="001C02B0"/>
    <w:rsid w:val="002035E1"/>
    <w:rsid w:val="00223E6E"/>
    <w:rsid w:val="00227DF9"/>
    <w:rsid w:val="00251774"/>
    <w:rsid w:val="002626B2"/>
    <w:rsid w:val="00263D46"/>
    <w:rsid w:val="00284C99"/>
    <w:rsid w:val="002865D0"/>
    <w:rsid w:val="00287691"/>
    <w:rsid w:val="00290406"/>
    <w:rsid w:val="0029439D"/>
    <w:rsid w:val="002A7DC8"/>
    <w:rsid w:val="002B46DC"/>
    <w:rsid w:val="002C241C"/>
    <w:rsid w:val="002C4E7C"/>
    <w:rsid w:val="002D3C8D"/>
    <w:rsid w:val="002E4C4B"/>
    <w:rsid w:val="002F3084"/>
    <w:rsid w:val="002F419B"/>
    <w:rsid w:val="003064A7"/>
    <w:rsid w:val="00341534"/>
    <w:rsid w:val="00347127"/>
    <w:rsid w:val="00366403"/>
    <w:rsid w:val="00366AF6"/>
    <w:rsid w:val="00393AF9"/>
    <w:rsid w:val="003A09F4"/>
    <w:rsid w:val="003A4307"/>
    <w:rsid w:val="003C6D31"/>
    <w:rsid w:val="003D4F79"/>
    <w:rsid w:val="003F6295"/>
    <w:rsid w:val="00410164"/>
    <w:rsid w:val="00440F8F"/>
    <w:rsid w:val="00466B3A"/>
    <w:rsid w:val="004758DB"/>
    <w:rsid w:val="004823C1"/>
    <w:rsid w:val="00482C47"/>
    <w:rsid w:val="004851C5"/>
    <w:rsid w:val="00497A95"/>
    <w:rsid w:val="004B0AE6"/>
    <w:rsid w:val="004D146D"/>
    <w:rsid w:val="004D5C4B"/>
    <w:rsid w:val="004D72BA"/>
    <w:rsid w:val="004D7387"/>
    <w:rsid w:val="004E230F"/>
    <w:rsid w:val="004F5814"/>
    <w:rsid w:val="005061C1"/>
    <w:rsid w:val="00525C57"/>
    <w:rsid w:val="00536009"/>
    <w:rsid w:val="005502C9"/>
    <w:rsid w:val="00555A0D"/>
    <w:rsid w:val="005658E7"/>
    <w:rsid w:val="00567168"/>
    <w:rsid w:val="00572753"/>
    <w:rsid w:val="00580E88"/>
    <w:rsid w:val="005B4EB8"/>
    <w:rsid w:val="005C2CC3"/>
    <w:rsid w:val="005C7F7B"/>
    <w:rsid w:val="005D79DE"/>
    <w:rsid w:val="00610CFE"/>
    <w:rsid w:val="0061607B"/>
    <w:rsid w:val="006321D9"/>
    <w:rsid w:val="00632CF3"/>
    <w:rsid w:val="00634E25"/>
    <w:rsid w:val="0064476C"/>
    <w:rsid w:val="00656060"/>
    <w:rsid w:val="00657694"/>
    <w:rsid w:val="0066262D"/>
    <w:rsid w:val="00683813"/>
    <w:rsid w:val="00694AA1"/>
    <w:rsid w:val="006B1C0D"/>
    <w:rsid w:val="006B5B13"/>
    <w:rsid w:val="006C6879"/>
    <w:rsid w:val="006F1358"/>
    <w:rsid w:val="006F3A03"/>
    <w:rsid w:val="006F5A67"/>
    <w:rsid w:val="007224C5"/>
    <w:rsid w:val="00722E71"/>
    <w:rsid w:val="0074578F"/>
    <w:rsid w:val="007516DB"/>
    <w:rsid w:val="0075548E"/>
    <w:rsid w:val="00760C57"/>
    <w:rsid w:val="00773058"/>
    <w:rsid w:val="00774B0C"/>
    <w:rsid w:val="007B38C5"/>
    <w:rsid w:val="007B39FA"/>
    <w:rsid w:val="007C7C04"/>
    <w:rsid w:val="007D70B0"/>
    <w:rsid w:val="00801DC6"/>
    <w:rsid w:val="00815CF5"/>
    <w:rsid w:val="00830C43"/>
    <w:rsid w:val="00863226"/>
    <w:rsid w:val="00882A52"/>
    <w:rsid w:val="00885546"/>
    <w:rsid w:val="00895286"/>
    <w:rsid w:val="008D3566"/>
    <w:rsid w:val="008D4044"/>
    <w:rsid w:val="008E0914"/>
    <w:rsid w:val="00902EC4"/>
    <w:rsid w:val="009136C3"/>
    <w:rsid w:val="00941D81"/>
    <w:rsid w:val="00946260"/>
    <w:rsid w:val="00973C91"/>
    <w:rsid w:val="0099267A"/>
    <w:rsid w:val="009A09C9"/>
    <w:rsid w:val="009C1BD5"/>
    <w:rsid w:val="009D2F98"/>
    <w:rsid w:val="009E5FB0"/>
    <w:rsid w:val="00A05D5E"/>
    <w:rsid w:val="00A06927"/>
    <w:rsid w:val="00A10B4F"/>
    <w:rsid w:val="00A439B4"/>
    <w:rsid w:val="00A51F27"/>
    <w:rsid w:val="00A74298"/>
    <w:rsid w:val="00A77038"/>
    <w:rsid w:val="00AA0DD9"/>
    <w:rsid w:val="00AA6698"/>
    <w:rsid w:val="00AC244E"/>
    <w:rsid w:val="00AF4864"/>
    <w:rsid w:val="00B43618"/>
    <w:rsid w:val="00B517C4"/>
    <w:rsid w:val="00B645CB"/>
    <w:rsid w:val="00BB302A"/>
    <w:rsid w:val="00BC7616"/>
    <w:rsid w:val="00BD234E"/>
    <w:rsid w:val="00BF3A75"/>
    <w:rsid w:val="00BF4D2D"/>
    <w:rsid w:val="00BF70C6"/>
    <w:rsid w:val="00C30591"/>
    <w:rsid w:val="00C401B1"/>
    <w:rsid w:val="00C510D2"/>
    <w:rsid w:val="00C71520"/>
    <w:rsid w:val="00CA59FA"/>
    <w:rsid w:val="00CC4E67"/>
    <w:rsid w:val="00CD5FCE"/>
    <w:rsid w:val="00CF2F0B"/>
    <w:rsid w:val="00CF3A67"/>
    <w:rsid w:val="00D04C72"/>
    <w:rsid w:val="00D055DF"/>
    <w:rsid w:val="00D07385"/>
    <w:rsid w:val="00D21F4D"/>
    <w:rsid w:val="00D35564"/>
    <w:rsid w:val="00D73F7C"/>
    <w:rsid w:val="00D80675"/>
    <w:rsid w:val="00D82B86"/>
    <w:rsid w:val="00D856C1"/>
    <w:rsid w:val="00D93348"/>
    <w:rsid w:val="00D9359D"/>
    <w:rsid w:val="00D97C4F"/>
    <w:rsid w:val="00DB6490"/>
    <w:rsid w:val="00DC313D"/>
    <w:rsid w:val="00DD70B7"/>
    <w:rsid w:val="00DD7C69"/>
    <w:rsid w:val="00DF363D"/>
    <w:rsid w:val="00DF3AAC"/>
    <w:rsid w:val="00E01696"/>
    <w:rsid w:val="00E058CA"/>
    <w:rsid w:val="00E33E1E"/>
    <w:rsid w:val="00E747D1"/>
    <w:rsid w:val="00E76E46"/>
    <w:rsid w:val="00E77D6A"/>
    <w:rsid w:val="00E864E8"/>
    <w:rsid w:val="00E9748E"/>
    <w:rsid w:val="00EA5C14"/>
    <w:rsid w:val="00EB4EE6"/>
    <w:rsid w:val="00ED03DD"/>
    <w:rsid w:val="00ED0F12"/>
    <w:rsid w:val="00ED3ADE"/>
    <w:rsid w:val="00EF1FC0"/>
    <w:rsid w:val="00F03E4C"/>
    <w:rsid w:val="00F35DCA"/>
    <w:rsid w:val="00F44738"/>
    <w:rsid w:val="00F56606"/>
    <w:rsid w:val="00F62393"/>
    <w:rsid w:val="00F74642"/>
    <w:rsid w:val="00F84D13"/>
    <w:rsid w:val="00F90234"/>
    <w:rsid w:val="00F959EB"/>
    <w:rsid w:val="00FA4E11"/>
    <w:rsid w:val="00FB57E9"/>
    <w:rsid w:val="00FC5764"/>
    <w:rsid w:val="00FF0DE0"/>
    <w:rsid w:val="00FF2114"/>
    <w:rsid w:val="00FF213F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23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3F62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62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97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0314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F13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6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604</TotalTime>
  <Pages>14</Pages>
  <Words>2980</Words>
  <Characters>16987</Characters>
  <Application>Microsoft Office Outlook</Application>
  <DocSecurity>0</DocSecurity>
  <Lines>0</Lines>
  <Paragraphs>0</Paragraphs>
  <ScaleCrop>false</ScaleCrop>
  <Company>XJT36-B8T7W-9C3FV-9C9Y8-MJ226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ЭГП</dc:creator>
  <cp:keywords/>
  <dc:description/>
  <cp:lastModifiedBy>ivanova</cp:lastModifiedBy>
  <cp:revision>16</cp:revision>
  <cp:lastPrinted>2011-11-24T05:44:00Z</cp:lastPrinted>
  <dcterms:created xsi:type="dcterms:W3CDTF">2011-11-17T01:16:00Z</dcterms:created>
  <dcterms:modified xsi:type="dcterms:W3CDTF">2011-12-06T05:19:00Z</dcterms:modified>
</cp:coreProperties>
</file>